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BF5F1C">
        <w:rPr>
          <w:rFonts w:ascii="Palatino Linotype" w:hAnsi="Palatino Linotype"/>
          <w:b/>
          <w:sz w:val="24"/>
          <w:szCs w:val="24"/>
        </w:rPr>
        <w:t>SEGUNDA</w:t>
      </w:r>
      <w:r w:rsidR="00DE66E2">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BF5F1C">
        <w:rPr>
          <w:rFonts w:ascii="Palatino Linotype" w:hAnsi="Palatino Linotype"/>
          <w:b/>
          <w:sz w:val="24"/>
          <w:szCs w:val="24"/>
        </w:rPr>
        <w:t>DIECISÉIS</w:t>
      </w:r>
      <w:r w:rsidR="00394E9F">
        <w:rPr>
          <w:rFonts w:ascii="Palatino Linotype" w:hAnsi="Palatino Linotype"/>
          <w:b/>
          <w:sz w:val="24"/>
          <w:szCs w:val="24"/>
        </w:rPr>
        <w:t xml:space="preserve"> DE ENERO</w:t>
      </w:r>
      <w:r w:rsidR="00004FA2">
        <w:rPr>
          <w:rFonts w:ascii="Palatino Linotype" w:hAnsi="Palatino Linotype"/>
          <w:b/>
          <w:sz w:val="24"/>
          <w:szCs w:val="24"/>
        </w:rPr>
        <w:t xml:space="preserve"> DE DOS MIL DIECI</w:t>
      </w:r>
      <w:r w:rsidR="00394E9F">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BF5F1C">
        <w:rPr>
          <w:rFonts w:ascii="Palatino Linotype" w:hAnsi="Palatino Linotype"/>
          <w:b/>
          <w:sz w:val="24"/>
          <w:szCs w:val="24"/>
        </w:rPr>
        <w:t>4132</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BF5F1C">
        <w:rPr>
          <w:rFonts w:ascii="Palatino Linotype" w:hAnsi="Palatino Linotype"/>
          <w:b/>
          <w:sz w:val="24"/>
          <w:szCs w:val="24"/>
        </w:rPr>
        <w:t>.</w:t>
      </w:r>
    </w:p>
    <w:p w:rsidR="00BF5F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BF5F1C">
        <w:rPr>
          <w:rFonts w:ascii="Palatino Linotype" w:hAnsi="Palatino Linotype"/>
          <w:sz w:val="24"/>
          <w:szCs w:val="24"/>
        </w:rPr>
        <w:t xml:space="preserve">modificar la respuesta emitida por el Sujeto Obligado a la </w:t>
      </w:r>
      <w:r w:rsidR="00B7062F">
        <w:rPr>
          <w:rFonts w:ascii="Palatino Linotype" w:hAnsi="Palatino Linotype"/>
          <w:sz w:val="24"/>
          <w:szCs w:val="24"/>
        </w:rPr>
        <w:t xml:space="preserve">solicitud </w:t>
      </w:r>
      <w:r w:rsidR="00BF5F1C">
        <w:rPr>
          <w:rFonts w:ascii="Palatino Linotype" w:hAnsi="Palatino Linotype"/>
          <w:sz w:val="24"/>
          <w:szCs w:val="24"/>
        </w:rPr>
        <w:t xml:space="preserve">de información </w:t>
      </w:r>
      <w:r w:rsidR="00F41D72">
        <w:rPr>
          <w:rFonts w:ascii="Palatino Linotype" w:hAnsi="Palatino Linotype"/>
          <w:sz w:val="24"/>
          <w:szCs w:val="24"/>
        </w:rPr>
        <w:t xml:space="preserve">con número de folio </w:t>
      </w:r>
      <w:r w:rsidR="00DE66E2" w:rsidRPr="00DE66E2">
        <w:rPr>
          <w:rFonts w:ascii="Palatino Linotype" w:hAnsi="Palatino Linotype"/>
        </w:rPr>
        <w:t>0</w:t>
      </w:r>
      <w:r w:rsidR="00BF5F1C">
        <w:rPr>
          <w:rFonts w:ascii="Palatino Linotype" w:hAnsi="Palatino Linotype"/>
        </w:rPr>
        <w:t>1183</w:t>
      </w:r>
      <w:r w:rsidR="00DE66E2" w:rsidRPr="00DE66E2">
        <w:rPr>
          <w:rFonts w:ascii="Palatino Linotype" w:hAnsi="Palatino Linotype"/>
        </w:rPr>
        <w:t>/</w:t>
      </w:r>
      <w:r w:rsidR="00BF5F1C">
        <w:rPr>
          <w:rFonts w:ascii="Palatino Linotype" w:hAnsi="Palatino Linotype"/>
        </w:rPr>
        <w:t>UPVT</w:t>
      </w:r>
      <w:r w:rsidR="00394E9F">
        <w:rPr>
          <w:rFonts w:ascii="Palatino Linotype" w:hAnsi="Palatino Linotype"/>
        </w:rPr>
        <w:t>/IP/2018</w:t>
      </w:r>
      <w:r w:rsidR="00B7062F">
        <w:rPr>
          <w:rFonts w:ascii="Palatino Linotype" w:hAnsi="Palatino Linotype"/>
          <w:sz w:val="24"/>
          <w:szCs w:val="24"/>
        </w:rPr>
        <w:t xml:space="preserve">, </w:t>
      </w:r>
      <w:r w:rsidR="00BF5F1C">
        <w:rPr>
          <w:rFonts w:ascii="Palatino Linotype" w:hAnsi="Palatino Linotype"/>
          <w:sz w:val="24"/>
          <w:szCs w:val="24"/>
        </w:rPr>
        <w:t>sin embargo, no comparto en su totalidad las consideraciones que sustenta la resolución al recurso de revisión por las razones que se exponen a continuación.</w:t>
      </w:r>
    </w:p>
    <w:p w:rsidR="00746AA1" w:rsidRDefault="00746AA1"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el caso concreto se determinó modificar la respuesta emitida por la Universidad Politécnica del Valle de Toluca, para efectos de ordenar la entrega de certificados, cédulas profesionales y documentos de obtención de grados de Licenciatura, Maestría y Doctorado de la Rectora, Directora de División de Ingeniería Industrial y Sistemas, </w:t>
      </w:r>
      <w:r w:rsidRPr="00746AA1">
        <w:rPr>
          <w:rFonts w:ascii="Palatino Linotype" w:hAnsi="Palatino Linotype" w:cs="Arial"/>
          <w:sz w:val="24"/>
          <w:szCs w:val="24"/>
          <w:lang w:eastAsia="es-MX"/>
        </w:rPr>
        <w:t>División de Ingeniería Mecatrónica, el Director de la División de Ingeniería en Biotecnología y Licenciatura en Negocios Internacionales, la Jefa del Departamento de Recursos Humanos</w:t>
      </w:r>
      <w:r>
        <w:rPr>
          <w:rFonts w:ascii="Palatino Linotype" w:hAnsi="Palatino Linotype" w:cs="Arial"/>
          <w:sz w:val="24"/>
          <w:szCs w:val="24"/>
          <w:lang w:eastAsia="es-MX"/>
        </w:rPr>
        <w:t xml:space="preserve">, </w:t>
      </w:r>
      <w:r w:rsidRPr="00746AA1">
        <w:rPr>
          <w:rFonts w:ascii="Palatino Linotype" w:hAnsi="Palatino Linotype" w:cs="Arial"/>
          <w:sz w:val="24"/>
          <w:szCs w:val="24"/>
          <w:lang w:eastAsia="es-MX"/>
        </w:rPr>
        <w:t xml:space="preserve">Directora de la División de Ingeniería </w:t>
      </w:r>
      <w:r w:rsidRPr="00746AA1">
        <w:rPr>
          <w:rFonts w:ascii="Palatino Linotype" w:hAnsi="Palatino Linotype" w:cs="Arial"/>
          <w:sz w:val="24"/>
          <w:szCs w:val="24"/>
          <w:lang w:eastAsia="es-MX"/>
        </w:rPr>
        <w:lastRenderedPageBreak/>
        <w:t>Informática</w:t>
      </w:r>
      <w:r w:rsidRPr="00746AA1">
        <w:rPr>
          <w:rFonts w:ascii="Palatino Linotype" w:hAnsi="Palatino Linotype" w:cs="Arial"/>
          <w:sz w:val="24"/>
          <w:szCs w:val="24"/>
          <w:lang w:eastAsia="es-MX"/>
        </w:rPr>
        <w:t xml:space="preserve">, </w:t>
      </w:r>
      <w:r w:rsidRPr="00746AA1">
        <w:rPr>
          <w:rFonts w:ascii="Palatino Linotype" w:hAnsi="Palatino Linotype" w:cs="Arial"/>
          <w:sz w:val="24"/>
          <w:szCs w:val="24"/>
          <w:lang w:eastAsia="es-MX"/>
        </w:rPr>
        <w:t>la Jefa del Departamento de Información, Planeación, Programación y Evaluación, el Contralor Interno, el Jefe del Departamento de Tecnologías de la Información, el Director de Administración y Finanzas, el Jefe del Departamento de Control Escolar, el Director de Planeación y Vinculación y la Subdirectora de Servicios Escolares</w:t>
      </w:r>
      <w:r>
        <w:rPr>
          <w:rFonts w:ascii="Palatino Linotype" w:hAnsi="Palatino Linotype" w:cs="Arial"/>
          <w:sz w:val="24"/>
          <w:szCs w:val="24"/>
          <w:lang w:eastAsia="es-MX"/>
        </w:rPr>
        <w:t>,</w:t>
      </w:r>
      <w:r>
        <w:rPr>
          <w:rFonts w:ascii="Palatino Linotype" w:hAnsi="Palatino Linotype" w:cs="Arial"/>
          <w:i/>
          <w:lang w:eastAsia="es-MX"/>
        </w:rPr>
        <w:t xml:space="preserve"> </w:t>
      </w:r>
      <w:r>
        <w:rPr>
          <w:rFonts w:ascii="Palatino Linotype" w:hAnsi="Palatino Linotype"/>
          <w:sz w:val="24"/>
          <w:szCs w:val="24"/>
        </w:rPr>
        <w:t>respectivamente, en el caso de que los hayan presentado de manera opcional.</w:t>
      </w:r>
    </w:p>
    <w:p w:rsidR="00746AA1" w:rsidRDefault="00746AA1"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 Al respecto, me aparto parciamente de las consideraciones sostenidas por la mayoría </w:t>
      </w:r>
      <w:r w:rsidR="00EA05F4">
        <w:rPr>
          <w:rFonts w:ascii="Palatino Linotype" w:hAnsi="Palatino Linotype"/>
          <w:sz w:val="24"/>
          <w:szCs w:val="24"/>
        </w:rPr>
        <w:t>del Ple</w:t>
      </w:r>
      <w:r>
        <w:rPr>
          <w:rFonts w:ascii="Palatino Linotype" w:hAnsi="Palatino Linotype"/>
          <w:sz w:val="24"/>
          <w:szCs w:val="24"/>
        </w:rPr>
        <w:t>no en relación con los documentos ordenados, pues bajos las consideraciones</w:t>
      </w:r>
      <w:r w:rsidR="00EA05F4">
        <w:rPr>
          <w:rFonts w:ascii="Palatino Linotype" w:hAnsi="Palatino Linotype"/>
          <w:sz w:val="24"/>
          <w:szCs w:val="24"/>
        </w:rPr>
        <w:t xml:space="preserve"> que sustentan mi postura jurídica, la instituciones públicas deben establecer un sistema de profesionalización que garantice la estabilidad y movilidad laboral de los servidores públicos conforme a su desarrollo profesional y a sus méritos en el servicio, en consecuencia deberán implantar programas de capacitación y desarrollo conforme a las necesidades de su función, del servicio y de los programas de ascenso escalafonario.</w:t>
      </w:r>
    </w:p>
    <w:p w:rsidR="001B7C86" w:rsidRDefault="001B7C86"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primer lugar, es menester precisar que el artículo </w:t>
      </w:r>
      <w:r w:rsidR="004A5485">
        <w:rPr>
          <w:rFonts w:ascii="Palatino Linotype" w:hAnsi="Palatino Linotype"/>
          <w:sz w:val="24"/>
          <w:szCs w:val="24"/>
        </w:rPr>
        <w:t>102 de la Ley del Trabajo de los Servidores Públicos del Estado y Municipios, establece que la capacitación y desarrollo tendrán por objeto:</w:t>
      </w:r>
    </w:p>
    <w:p w:rsid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t xml:space="preserve">I. Propiciar la superación individual y colectiva de los servidores públicos, mejorar la calidad de la prestación de los servicios y coadyuvar a su integración con los fines de la institución pública; </w:t>
      </w:r>
    </w:p>
    <w:p w:rsid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lastRenderedPageBreak/>
        <w:t>II. Actualizar y perfeccionar los conocimientos y habilidades del servidor público, así como proporcionarle información sobre la aplicación de nuevas tecnologías;</w:t>
      </w:r>
      <w:r w:rsidRPr="004A5485">
        <w:rPr>
          <w:rFonts w:ascii="Palatino Linotype" w:hAnsi="Palatino Linotype"/>
          <w:sz w:val="24"/>
          <w:szCs w:val="24"/>
        </w:rPr>
        <w:t xml:space="preserve"> </w:t>
      </w:r>
    </w:p>
    <w:p w:rsid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t xml:space="preserve">III. Preparar a los servidores públicos para ocupar puestos de mayor nivel; </w:t>
      </w:r>
    </w:p>
    <w:p w:rsid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t xml:space="preserve">IV. Prevenir riesgos de trabajo; </w:t>
      </w:r>
    </w:p>
    <w:p w:rsid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t xml:space="preserve">V. Incrementar la calidad y productividad; y </w:t>
      </w:r>
    </w:p>
    <w:p w:rsidR="004A5485" w:rsidRPr="004A5485" w:rsidRDefault="004A5485" w:rsidP="004A5485">
      <w:pPr>
        <w:spacing w:after="120" w:line="360" w:lineRule="auto"/>
        <w:ind w:left="567"/>
        <w:jc w:val="both"/>
        <w:rPr>
          <w:rFonts w:ascii="Palatino Linotype" w:hAnsi="Palatino Linotype"/>
          <w:sz w:val="24"/>
          <w:szCs w:val="24"/>
        </w:rPr>
      </w:pPr>
      <w:r w:rsidRPr="004A5485">
        <w:rPr>
          <w:rFonts w:ascii="Palatino Linotype" w:hAnsi="Palatino Linotype"/>
          <w:sz w:val="24"/>
          <w:szCs w:val="24"/>
        </w:rPr>
        <w:t>VI. Mejorar las aptitudes y actitudes de los servidores públicos.</w:t>
      </w:r>
    </w:p>
    <w:p w:rsidR="00D905A5" w:rsidRDefault="004A5485"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Ahora bien, en la redacción de las fracciones I, II y III del artículo en comento, es posible advertir que, las instituciones públicas deben </w:t>
      </w:r>
      <w:r w:rsidR="005542B5">
        <w:rPr>
          <w:rFonts w:ascii="Palatino Linotype" w:hAnsi="Palatino Linotype"/>
          <w:sz w:val="24"/>
          <w:szCs w:val="24"/>
        </w:rPr>
        <w:t xml:space="preserve">implementar programas que permitan mejorar la capacitación y desarrollo de sus servidores públicos, a fin de acrecentar conocimientos, habilidades y aptitudes, que permitan modificar sus actitudes en el desempeño del puesto que tienen asignado, además de </w:t>
      </w:r>
      <w:r w:rsidR="00D905A5">
        <w:rPr>
          <w:rFonts w:ascii="Palatino Linotype" w:hAnsi="Palatino Linotype"/>
          <w:sz w:val="24"/>
          <w:szCs w:val="24"/>
        </w:rPr>
        <w:t>propiciar</w:t>
      </w:r>
      <w:r w:rsidR="005542B5">
        <w:rPr>
          <w:rFonts w:ascii="Palatino Linotype" w:hAnsi="Palatino Linotype"/>
          <w:sz w:val="24"/>
          <w:szCs w:val="24"/>
        </w:rPr>
        <w:t xml:space="preserve"> la superación individual</w:t>
      </w:r>
      <w:r w:rsidR="00D905A5">
        <w:rPr>
          <w:rFonts w:ascii="Palatino Linotype" w:hAnsi="Palatino Linotype"/>
          <w:sz w:val="24"/>
          <w:szCs w:val="24"/>
        </w:rPr>
        <w:t xml:space="preserve"> </w:t>
      </w:r>
      <w:r w:rsidR="005542B5">
        <w:rPr>
          <w:rFonts w:ascii="Palatino Linotype" w:hAnsi="Palatino Linotype"/>
          <w:sz w:val="24"/>
          <w:szCs w:val="24"/>
        </w:rPr>
        <w:t>y colectiva</w:t>
      </w:r>
      <w:r w:rsidR="00D905A5">
        <w:rPr>
          <w:rFonts w:ascii="Palatino Linotype" w:hAnsi="Palatino Linotype"/>
          <w:sz w:val="24"/>
          <w:szCs w:val="24"/>
        </w:rPr>
        <w:t>, que redunde en acceder a</w:t>
      </w:r>
      <w:r w:rsidR="00D905A5">
        <w:rPr>
          <w:rFonts w:ascii="Palatino Linotype" w:hAnsi="Palatino Linotype"/>
          <w:sz w:val="24"/>
          <w:szCs w:val="24"/>
        </w:rPr>
        <w:t xml:space="preserve"> puestos de mayor nivel </w:t>
      </w:r>
      <w:r w:rsidR="00D905A5">
        <w:rPr>
          <w:rFonts w:ascii="Palatino Linotype" w:hAnsi="Palatino Linotype"/>
          <w:sz w:val="24"/>
          <w:szCs w:val="24"/>
        </w:rPr>
        <w:t>y mejores servicios para la comunidad.</w:t>
      </w:r>
    </w:p>
    <w:p w:rsidR="00CB2117" w:rsidRDefault="00AD7A94"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igual manera, el artículo 16, fracción </w:t>
      </w:r>
      <w:r w:rsidR="00CB2117">
        <w:rPr>
          <w:rFonts w:ascii="Palatino Linotype" w:hAnsi="Palatino Linotype"/>
          <w:sz w:val="24"/>
          <w:szCs w:val="24"/>
        </w:rPr>
        <w:t>XIII del Reglamento Interior de la Universidad Politécnica del Valle de Toluca, prevé que le corresponde a la Dirección de Administración y Finanzas, promover la capacitación y desarrollo del personal administrativo y docente de la Universidad.</w:t>
      </w:r>
    </w:p>
    <w:p w:rsidR="00201D20" w:rsidRDefault="00CB2117" w:rsidP="00A90414">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En este tenor, se reconoce </w:t>
      </w:r>
      <w:r w:rsidR="00201D20">
        <w:rPr>
          <w:rFonts w:ascii="Palatino Linotype" w:hAnsi="Palatino Linotype"/>
          <w:sz w:val="24"/>
          <w:szCs w:val="24"/>
        </w:rPr>
        <w:t>que</w:t>
      </w:r>
      <w:r w:rsidR="009F79AA">
        <w:rPr>
          <w:rFonts w:ascii="Palatino Linotype" w:hAnsi="Palatino Linotype"/>
          <w:sz w:val="24"/>
          <w:szCs w:val="24"/>
        </w:rPr>
        <w:t xml:space="preserve"> la Universidad Politécnica del Valle de Toluca, t</w:t>
      </w:r>
      <w:r w:rsidR="00201D20">
        <w:rPr>
          <w:rFonts w:ascii="Palatino Linotype" w:hAnsi="Palatino Linotype"/>
          <w:sz w:val="24"/>
          <w:szCs w:val="24"/>
        </w:rPr>
        <w:t>iene</w:t>
      </w:r>
      <w:r w:rsidR="009F79AA">
        <w:rPr>
          <w:rFonts w:ascii="Palatino Linotype" w:hAnsi="Palatino Linotype"/>
          <w:sz w:val="24"/>
          <w:szCs w:val="24"/>
        </w:rPr>
        <w:t xml:space="preserve"> la facultad de promover eventos que permitan la formación y actualización de los servidores públicos, correspondiéndole al Instituto de Profesionalización de los Servidores Públicos del Poder Ejecutivo del Gobierno del Estado de México</w:t>
      </w:r>
      <w:r w:rsidR="00201D20">
        <w:rPr>
          <w:rFonts w:ascii="Palatino Linotype" w:hAnsi="Palatino Linotype"/>
          <w:sz w:val="24"/>
          <w:szCs w:val="24"/>
        </w:rPr>
        <w:t>, establecer normas, políticas y procedimientos para la profesionalización del personal, así como llevar a cabo su aplicación y vigilar su cumplimiento, con el objeto de planear, organizar, ejecutar, controlar y evaluar las estrategias y acciones en materia de profesionalización, orientadas a generar una nueva cultura de servicio público y de servicio profesional de carrera, con el propósito de responder a las aspiraciones laborales, fines gubernamentales y expectativas ciudadanas.</w:t>
      </w:r>
    </w:p>
    <w:p w:rsidR="00201D20" w:rsidRDefault="00201D20" w:rsidP="00A90414">
      <w:pPr>
        <w:spacing w:before="240" w:after="240" w:line="360" w:lineRule="auto"/>
        <w:jc w:val="both"/>
        <w:rPr>
          <w:rFonts w:ascii="Palatino Linotype" w:hAnsi="Palatino Linotype"/>
          <w:sz w:val="24"/>
          <w:szCs w:val="24"/>
        </w:rPr>
      </w:pPr>
      <w:r>
        <w:rPr>
          <w:rFonts w:ascii="Palatino Linotype" w:hAnsi="Palatino Linotype"/>
          <w:sz w:val="24"/>
          <w:szCs w:val="24"/>
        </w:rPr>
        <w:t>De lo anterior, estimo que es innegable que el particular desea tener acceso a los documentos que sustentan el fortalecimiento y desarrollo de capacidades y aptitudes de los servidores públicos en la prestación de los servicios que le corresponde proporcionar a la Universidad Politécnica del Valle de Toluca</w:t>
      </w:r>
      <w:r w:rsidR="00397990">
        <w:rPr>
          <w:rFonts w:ascii="Palatino Linotype" w:hAnsi="Palatino Linotype"/>
          <w:sz w:val="24"/>
          <w:szCs w:val="24"/>
        </w:rPr>
        <w:t xml:space="preserve"> vinculados a la impartición de educación superior en los niveles de licenciatura, especialización tecnológica y posgrado, </w:t>
      </w:r>
      <w:r w:rsidR="005C40A4">
        <w:rPr>
          <w:rFonts w:ascii="Palatino Linotype" w:hAnsi="Palatino Linotype"/>
          <w:sz w:val="24"/>
          <w:szCs w:val="24"/>
        </w:rPr>
        <w:t>así</w:t>
      </w:r>
      <w:r w:rsidR="00397990">
        <w:rPr>
          <w:rFonts w:ascii="Palatino Linotype" w:hAnsi="Palatino Linotype"/>
          <w:sz w:val="24"/>
          <w:szCs w:val="24"/>
        </w:rPr>
        <w:t xml:space="preserve"> como cursos de actualización en sus diversas modalidades, que </w:t>
      </w:r>
      <w:r w:rsidR="005C40A4">
        <w:rPr>
          <w:rFonts w:ascii="Palatino Linotype" w:hAnsi="Palatino Linotype"/>
          <w:sz w:val="24"/>
          <w:szCs w:val="24"/>
        </w:rPr>
        <w:t>contribuyan</w:t>
      </w:r>
      <w:r w:rsidR="00397990">
        <w:rPr>
          <w:rFonts w:ascii="Palatino Linotype" w:hAnsi="Palatino Linotype"/>
          <w:sz w:val="24"/>
          <w:szCs w:val="24"/>
        </w:rPr>
        <w:t xml:space="preserve"> a atender los requerimientos del contexto económico, </w:t>
      </w:r>
      <w:r w:rsidR="005C40A4">
        <w:rPr>
          <w:rFonts w:ascii="Palatino Linotype" w:hAnsi="Palatino Linotype"/>
          <w:sz w:val="24"/>
          <w:szCs w:val="24"/>
        </w:rPr>
        <w:t>político</w:t>
      </w:r>
      <w:r w:rsidR="00397990">
        <w:rPr>
          <w:rFonts w:ascii="Palatino Linotype" w:hAnsi="Palatino Linotype"/>
          <w:sz w:val="24"/>
          <w:szCs w:val="24"/>
        </w:rPr>
        <w:t xml:space="preserve"> y social nacional e internacional</w:t>
      </w:r>
      <w:r w:rsidR="00397990">
        <w:rPr>
          <w:rStyle w:val="Refdenotaalpie"/>
          <w:rFonts w:ascii="Palatino Linotype" w:hAnsi="Palatino Linotype"/>
          <w:sz w:val="24"/>
          <w:szCs w:val="24"/>
        </w:rPr>
        <w:footnoteReference w:id="1"/>
      </w:r>
      <w:r w:rsidR="005C40A4">
        <w:rPr>
          <w:rFonts w:ascii="Palatino Linotype" w:hAnsi="Palatino Linotype"/>
          <w:sz w:val="24"/>
          <w:szCs w:val="24"/>
        </w:rPr>
        <w:t>.</w:t>
      </w:r>
    </w:p>
    <w:p w:rsidR="00201D20" w:rsidRDefault="00201D20" w:rsidP="00A90414">
      <w:pPr>
        <w:spacing w:before="240" w:after="240" w:line="360" w:lineRule="auto"/>
        <w:jc w:val="both"/>
        <w:rPr>
          <w:rFonts w:ascii="Palatino Linotype" w:hAnsi="Palatino Linotype"/>
          <w:sz w:val="24"/>
          <w:szCs w:val="24"/>
        </w:rPr>
      </w:pPr>
    </w:p>
    <w:p w:rsidR="00CB2117" w:rsidRDefault="009F79AA"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 </w:t>
      </w:r>
    </w:p>
    <w:p w:rsidR="00E30615" w:rsidRDefault="00992FAA" w:rsidP="00A90414">
      <w:pPr>
        <w:spacing w:before="240" w:after="240" w:line="360" w:lineRule="auto"/>
        <w:jc w:val="both"/>
        <w:rPr>
          <w:rFonts w:ascii="Palatino Linotype" w:hAnsi="Palatino Linotype"/>
          <w:sz w:val="24"/>
          <w:szCs w:val="24"/>
        </w:rPr>
      </w:pPr>
      <w:r>
        <w:rPr>
          <w:rFonts w:ascii="Palatino Linotype" w:hAnsi="Palatino Linotype"/>
          <w:sz w:val="24"/>
          <w:szCs w:val="24"/>
        </w:rPr>
        <w:t>Luego entonces, el certificado de estudios, cedula profesional o documento de obtención del grado de Licenciatura, Maestría o Doctorado, no atiende a las constancias de actualización señaladas por el particular en el requerimiento de información, pues en cuanto al tema, la capacitación y desarrollo de personal fue implementad</w:t>
      </w:r>
      <w:r w:rsidR="00E30615">
        <w:rPr>
          <w:rFonts w:ascii="Palatino Linotype" w:hAnsi="Palatino Linotype"/>
          <w:sz w:val="24"/>
          <w:szCs w:val="24"/>
        </w:rPr>
        <w:t>o</w:t>
      </w:r>
      <w:r>
        <w:rPr>
          <w:rFonts w:ascii="Palatino Linotype" w:hAnsi="Palatino Linotype"/>
          <w:sz w:val="24"/>
          <w:szCs w:val="24"/>
        </w:rPr>
        <w:t xml:space="preserve"> en el sistema para garantizar la igualdad de oportunidades laborales con base en el </w:t>
      </w:r>
      <w:r w:rsidR="00E30615">
        <w:rPr>
          <w:rFonts w:ascii="Palatino Linotype" w:hAnsi="Palatino Linotype"/>
          <w:sz w:val="24"/>
          <w:szCs w:val="24"/>
        </w:rPr>
        <w:t>mérito</w:t>
      </w:r>
      <w:r>
        <w:rPr>
          <w:rFonts w:ascii="Palatino Linotype" w:hAnsi="Palatino Linotype"/>
          <w:sz w:val="24"/>
          <w:szCs w:val="24"/>
        </w:rPr>
        <w:t xml:space="preserve"> de los servidores </w:t>
      </w:r>
      <w:r w:rsidR="00E30615">
        <w:rPr>
          <w:rFonts w:ascii="Palatino Linotype" w:hAnsi="Palatino Linotype"/>
          <w:sz w:val="24"/>
          <w:szCs w:val="24"/>
        </w:rPr>
        <w:t>públicos que permitan garantizar servicios eficientes, oportunos, flexibles y de calidad, acordes con los principios previstos en los artículos 109 y 113 de la Constitución Política de los Estados Unidos Mexicanos, sirve de sustento por analogía la tesis de jurisprudencia numero III.3º.T.21 L (10ª.) de los Tribunales Colegiados de Circuito de la Suprema Corte de Justicia de la Nación, que es del texto y rubro siguiente:</w:t>
      </w:r>
    </w:p>
    <w:p w:rsidR="00E30615" w:rsidRPr="00E30615" w:rsidRDefault="00E30615" w:rsidP="00E30615">
      <w:pPr>
        <w:spacing w:after="120" w:line="240" w:lineRule="auto"/>
        <w:ind w:left="851" w:right="1128"/>
        <w:jc w:val="both"/>
        <w:rPr>
          <w:rFonts w:ascii="Palatino Linotype" w:hAnsi="Palatino Linotype"/>
          <w:i/>
          <w:sz w:val="20"/>
          <w:szCs w:val="20"/>
        </w:rPr>
      </w:pPr>
      <w:r>
        <w:rPr>
          <w:rFonts w:ascii="Palatino Linotype" w:hAnsi="Palatino Linotype"/>
          <w:b/>
          <w:i/>
          <w:sz w:val="20"/>
          <w:szCs w:val="20"/>
        </w:rPr>
        <w:t>“</w:t>
      </w:r>
      <w:r w:rsidRPr="00E30615">
        <w:rPr>
          <w:rFonts w:ascii="Palatino Linotype" w:hAnsi="Palatino Linotype"/>
          <w:b/>
          <w:i/>
          <w:sz w:val="20"/>
          <w:szCs w:val="20"/>
        </w:rPr>
        <w:t>SERVICIO PROFESIONAL DE CARRERA EN LA ADMINISTRACIÓN PÚBLICA FEDERAL CENTRALIZADA. LAS MEDIDAS DE ESTABILIDAD PREVISTAS EN LA LEY RELATIVA A FAVOR DE LOS SERVIDORES PÚBLICOS PERTENECIENTES A AQUÉL, NO MODIFICAN LA NATURALEZA LABORAL DE SU RELACIÓN CON LA DEPENDENCIA Y SU CALIDAD DE TRABAJADORES, SINO QUE PROCURAN SU PROFESIONALIZACIÓN Y CARRERA EN LA ADMINISTRACIÓN PÚBLICA.</w:t>
      </w:r>
      <w:r w:rsidRPr="00E30615">
        <w:rPr>
          <w:rFonts w:ascii="Palatino Linotype" w:hAnsi="Palatino Linotype"/>
          <w:i/>
          <w:sz w:val="20"/>
          <w:szCs w:val="20"/>
        </w:rPr>
        <w:t xml:space="preserve"> </w:t>
      </w:r>
      <w:r w:rsidRPr="00E30615">
        <w:rPr>
          <w:rFonts w:ascii="Palatino Linotype" w:hAnsi="Palatino Linotype"/>
          <w:i/>
          <w:sz w:val="20"/>
          <w:szCs w:val="20"/>
        </w:rPr>
        <w:t xml:space="preserve">Conforme a los artículos 1, 2 y 13 de la Ley del Servicio Profesional de Carrera en la Administración Pública Federal y su exposición de motivos, dicho sistema fue implementado para garantizar la igualdad de oportunidades en el acceso a la función pública federal centralizada, con base en el mérito, para impulsar su desarrollo en beneficio de la sociedad, garantizando servicios eficientes, oportunos, flexibles y de </w:t>
      </w:r>
      <w:r w:rsidRPr="00E30615">
        <w:rPr>
          <w:rFonts w:ascii="Palatino Linotype" w:hAnsi="Palatino Linotype"/>
          <w:i/>
          <w:sz w:val="20"/>
          <w:szCs w:val="20"/>
        </w:rPr>
        <w:lastRenderedPageBreak/>
        <w:t xml:space="preserve">calidad, para rendir cuentas y tener un cuerpo de funcionarios del Estado, encargados de llevar a cabo las políticas públicas del Ejecutivo, independientemente de la afiliación partidista, cambios políticos o de administración. No obstante, ello no modifica su calidad de ser trabajadores burocráticos ni la naturaleza de su relación con el Estado-patrón. En todo caso, dicho sistema trata de buscar que, en ciertos rangos del servicio público, existan trabajadores de confianza más profesionales, capacitados, eficientes y eficaces, acorde con los principios previstos en los artículos 109 y 113 constitucionales y los dispuestos en dicha ley, como son: legalidad, eficiencia, objetividad, calidad, imparcialidad, equidad, competencia por mérito y equidad de género. Así, el aludido sistema se integra por los subsistemas de: i) planeación de recursos humanos; ii) ingreso; iii) desarrollo profesional; iv) capacitación y certificación de capacidades; v) evaluación del desempeño; vi) separación; y, vii) control y evaluación. Además, acorde a los artículos 3, fracción IX, 4 y 5 de la referida ley, y 5, 6 y 41 de su reglamento, el servidor público de carrera es la persona física que desempeña un cargo de confianza en alguna dependencia, sean eventual o titular de un plaza, respecto de los siguientes rangos: a) Director general; b) Director de área; c) Subdirector de área; d) Jefe de departamento; y, e) Enlace, así como los niveles de adjunto a los anteriores, homólogo o cualquier otro equivalente, cualquiera que sea la denominación que se le dé. Por ende, el imperativo es que este servidor ingrese al sistema a través de un concurso de selección, cumplir los requisitos necesarios para incorporarse y atender a las reglas para su nombramiento, evaluación de desempeño y sólo poder ser nombrado y removido en los casos y bajo los procedimientos previstos por dicha ley (artículos 59 y 60), reconociéndole el derecho a la estabilidad y permanencia en el servicio, incluso a recibir una indemnización cuando sea despedido injustificadamente (artículo 10, fracciones I y X), aunque se precisa que la finalidad no es garantizar su inamovilidad sino establecer mecanismos para que la remoción no sea motivada por cuestiones políticas o por causas no previstas en dicha ley o en otras leyes aplicables (artículo 63), incluso, la exigencia de otorgar audiencia al empleado para determinar su separación (artículo 60, fracción IV, segundo párrafo, así como 73 a 84 de su reglamento), aunado a que el aludido artículo 59 entiende por separación, la terminación de nombramiento o las situaciones por las cuales deje de surtir efectos, y el citado artículo 3, fracciones VII y IX, retoma las nociones de dependencia patronal (secretarías de Estado, incluyendo sus órganos desconcentrados, departamentos administrativos y la Consejería Jurídica del Ejecutivo Federal) y, el aludido concepto de servidor público de carrera. Sin embargo, ello no transforma la naturaleza laboral de la relación de coordinación con la dependencia, sino simplemente existe una normatividad federal que reconoce medidas de protección complementarias, como limitar las causas de conclusión de su nombramiento o separación y otorgar audiencia previa, que normalmente no se aplican a los trabajadores de confianza al servicio del Estado. Así que, detrás de tales medidas, subyace el nexo entre el servidor </w:t>
      </w:r>
      <w:r w:rsidRPr="00E30615">
        <w:rPr>
          <w:rFonts w:ascii="Palatino Linotype" w:hAnsi="Palatino Linotype"/>
          <w:i/>
          <w:sz w:val="20"/>
          <w:szCs w:val="20"/>
        </w:rPr>
        <w:lastRenderedPageBreak/>
        <w:t>público de carrera y la dependencia en la que presta sus servicios (relación de trabajo burocrática), consolidado con un marco jurídico que procura su profesionalización y carrera en la función pública.</w:t>
      </w:r>
      <w:r>
        <w:rPr>
          <w:rFonts w:ascii="Palatino Linotype" w:hAnsi="Palatino Linotype"/>
          <w:i/>
          <w:sz w:val="20"/>
          <w:szCs w:val="20"/>
        </w:rPr>
        <w:t>”</w:t>
      </w:r>
    </w:p>
    <w:p w:rsidR="00185C5B" w:rsidRDefault="00534357" w:rsidP="006D6110">
      <w:pPr>
        <w:autoSpaceDE w:val="0"/>
        <w:autoSpaceDN w:val="0"/>
        <w:adjustRightInd w:val="0"/>
        <w:spacing w:before="240" w:after="240" w:line="360" w:lineRule="auto"/>
        <w:ind w:right="-3"/>
        <w:jc w:val="both"/>
        <w:rPr>
          <w:rFonts w:ascii="Palatino Linotype" w:hAnsi="Palatino Linotype"/>
          <w:sz w:val="24"/>
          <w:szCs w:val="24"/>
        </w:rPr>
      </w:pPr>
      <w:r>
        <w:rPr>
          <w:rFonts w:ascii="Palatino Linotype" w:hAnsi="Palatino Linotype"/>
          <w:sz w:val="24"/>
          <w:szCs w:val="24"/>
        </w:rPr>
        <w:t xml:space="preserve">Por lo vertido, consideró que </w:t>
      </w:r>
      <w:r w:rsidR="00E30615">
        <w:rPr>
          <w:rFonts w:ascii="Palatino Linotype" w:hAnsi="Palatino Linotype"/>
          <w:sz w:val="24"/>
          <w:szCs w:val="24"/>
        </w:rPr>
        <w:t xml:space="preserve">en presente asunto, no era procedente que se limitara las entrega de los soportes </w:t>
      </w:r>
      <w:r w:rsidR="00185C5B">
        <w:rPr>
          <w:rFonts w:ascii="Palatino Linotype" w:hAnsi="Palatino Linotype"/>
          <w:sz w:val="24"/>
          <w:szCs w:val="24"/>
        </w:rPr>
        <w:t>documentales</w:t>
      </w:r>
      <w:r w:rsidR="00E30615">
        <w:rPr>
          <w:rFonts w:ascii="Palatino Linotype" w:hAnsi="Palatino Linotype"/>
          <w:sz w:val="24"/>
          <w:szCs w:val="24"/>
        </w:rPr>
        <w:t xml:space="preserve"> de actualización de los </w:t>
      </w:r>
      <w:r w:rsidR="00185C5B">
        <w:rPr>
          <w:rFonts w:ascii="Palatino Linotype" w:hAnsi="Palatino Linotype"/>
          <w:sz w:val="24"/>
          <w:szCs w:val="24"/>
        </w:rPr>
        <w:t>ser</w:t>
      </w:r>
      <w:bookmarkStart w:id="0" w:name="_GoBack"/>
      <w:bookmarkEnd w:id="0"/>
      <w:r w:rsidR="00185C5B">
        <w:rPr>
          <w:rFonts w:ascii="Palatino Linotype" w:hAnsi="Palatino Linotype"/>
          <w:sz w:val="24"/>
          <w:szCs w:val="24"/>
        </w:rPr>
        <w:t>vidores</w:t>
      </w:r>
      <w:r w:rsidR="00E30615">
        <w:rPr>
          <w:rFonts w:ascii="Palatino Linotype" w:hAnsi="Palatino Linotype"/>
          <w:sz w:val="24"/>
          <w:szCs w:val="24"/>
        </w:rPr>
        <w:t xml:space="preserve"> </w:t>
      </w:r>
      <w:r w:rsidR="00185C5B">
        <w:rPr>
          <w:rFonts w:ascii="Palatino Linotype" w:hAnsi="Palatino Linotype"/>
          <w:sz w:val="24"/>
          <w:szCs w:val="24"/>
        </w:rPr>
        <w:t>públicos</w:t>
      </w:r>
      <w:r w:rsidR="00E30615">
        <w:rPr>
          <w:rFonts w:ascii="Palatino Linotype" w:hAnsi="Palatino Linotype"/>
          <w:sz w:val="24"/>
          <w:szCs w:val="24"/>
        </w:rPr>
        <w:t xml:space="preserve"> a </w:t>
      </w:r>
      <w:r w:rsidR="00185C5B">
        <w:rPr>
          <w:rFonts w:ascii="Palatino Linotype" w:hAnsi="Palatino Linotype"/>
          <w:sz w:val="24"/>
          <w:szCs w:val="24"/>
        </w:rPr>
        <w:t>certificados, cedula profesional o documentos de obtención de Licenciatura, Maestría o Doctorado, toda vez que dicha información no se encuentra íntimamente relacionada con la capacitación y certificación de capacidades de los servidores públicos</w:t>
      </w:r>
      <w:r w:rsidR="00A24C73">
        <w:rPr>
          <w:rFonts w:ascii="Palatino Linotype" w:hAnsi="Palatino Linotype"/>
          <w:sz w:val="24"/>
          <w:szCs w:val="24"/>
        </w:rPr>
        <w:t>,</w:t>
      </w:r>
      <w:r w:rsidR="00185C5B">
        <w:rPr>
          <w:rFonts w:ascii="Palatino Linotype" w:hAnsi="Palatino Linotype"/>
          <w:sz w:val="24"/>
          <w:szCs w:val="24"/>
        </w:rPr>
        <w:t xml:space="preserve"> necesarios para eficientar el desempeño de las </w:t>
      </w:r>
      <w:r w:rsidR="00A24C73">
        <w:rPr>
          <w:rFonts w:ascii="Palatino Linotype" w:hAnsi="Palatino Linotype"/>
          <w:sz w:val="24"/>
          <w:szCs w:val="24"/>
        </w:rPr>
        <w:t>f</w:t>
      </w:r>
      <w:r w:rsidR="00185C5B">
        <w:rPr>
          <w:rFonts w:ascii="Palatino Linotype" w:hAnsi="Palatino Linotype"/>
          <w:sz w:val="24"/>
          <w:szCs w:val="24"/>
        </w:rPr>
        <w:t>unciones que tienen encomendadas.</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A24C73">
        <w:rPr>
          <w:rFonts w:ascii="Palatino Linotype" w:hAnsi="Palatino Linotype"/>
          <w:sz w:val="24"/>
          <w:szCs w:val="24"/>
        </w:rPr>
        <w:t>es que se emite el presente</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sidR="007100DE">
        <w:rPr>
          <w:rFonts w:ascii="Palatino Linotype" w:hAnsi="Palatino Linotype"/>
          <w:sz w:val="24"/>
          <w:szCs w:val="24"/>
        </w:rPr>
        <w:t>.</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208" w:rsidRDefault="00874208" w:rsidP="00907451">
      <w:pPr>
        <w:spacing w:after="0" w:line="240" w:lineRule="auto"/>
      </w:pPr>
      <w:r>
        <w:separator/>
      </w:r>
    </w:p>
  </w:endnote>
  <w:endnote w:type="continuationSeparator" w:id="0">
    <w:p w:rsidR="00874208" w:rsidRDefault="0087420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6782">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6782">
      <w:rPr>
        <w:rFonts w:ascii="Arial" w:hAnsi="Arial" w:cs="Arial"/>
        <w:b/>
        <w:bCs/>
        <w:noProof/>
        <w:sz w:val="20"/>
        <w:szCs w:val="20"/>
      </w:rPr>
      <w:t>7</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208" w:rsidRDefault="00874208" w:rsidP="00907451">
      <w:pPr>
        <w:spacing w:after="0" w:line="240" w:lineRule="auto"/>
      </w:pPr>
      <w:r>
        <w:separator/>
      </w:r>
    </w:p>
  </w:footnote>
  <w:footnote w:type="continuationSeparator" w:id="0">
    <w:p w:rsidR="00874208" w:rsidRDefault="00874208" w:rsidP="00907451">
      <w:pPr>
        <w:spacing w:after="0" w:line="240" w:lineRule="auto"/>
      </w:pPr>
      <w:r>
        <w:continuationSeparator/>
      </w:r>
    </w:p>
  </w:footnote>
  <w:footnote w:id="1">
    <w:p w:rsidR="00397990" w:rsidRPr="00397990" w:rsidRDefault="00397990">
      <w:pPr>
        <w:pStyle w:val="Textonotapie"/>
        <w:rPr>
          <w:rFonts w:ascii="Palatino Linotype" w:hAnsi="Palatino Linotype"/>
          <w:sz w:val="16"/>
          <w:szCs w:val="16"/>
          <w:lang w:val="es-ES"/>
        </w:rPr>
      </w:pPr>
      <w:r>
        <w:rPr>
          <w:rStyle w:val="Refdenotaalpie"/>
        </w:rPr>
        <w:footnoteRef/>
      </w:r>
      <w:r>
        <w:t xml:space="preserve"> </w:t>
      </w:r>
      <w:r w:rsidRPr="00397990">
        <w:rPr>
          <w:rFonts w:ascii="Palatino Linotype" w:hAnsi="Palatino Linotype"/>
          <w:i/>
          <w:sz w:val="16"/>
          <w:szCs w:val="16"/>
          <w:lang w:val="es-ES"/>
        </w:rPr>
        <w:t xml:space="preserve">Cfr. </w:t>
      </w:r>
      <w:r w:rsidRPr="00397990">
        <w:rPr>
          <w:rFonts w:ascii="Palatino Linotype" w:hAnsi="Palatino Linotype"/>
          <w:sz w:val="16"/>
          <w:szCs w:val="16"/>
          <w:lang w:val="es-ES"/>
        </w:rPr>
        <w:t>Artículo 2 del Decreto del Ejecutivo del Estado por el que se Crea el Organismo Público Descentralizado de Carácter Estatal denominado Universidad Politécnica del Valle de Toluca.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8742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BF5F1C">
      <w:rPr>
        <w:rFonts w:ascii="Palatino Linotype" w:hAnsi="Palatino Linotype" w:cs="Arial"/>
        <w:b/>
        <w:sz w:val="20"/>
        <w:szCs w:val="20"/>
      </w:rPr>
      <w:t>4132</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874208"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8742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D6782"/>
    <w:rsid w:val="000E44AD"/>
    <w:rsid w:val="000E7110"/>
    <w:rsid w:val="00102C0B"/>
    <w:rsid w:val="001102D4"/>
    <w:rsid w:val="00127955"/>
    <w:rsid w:val="00132EFB"/>
    <w:rsid w:val="0013735C"/>
    <w:rsid w:val="00144A42"/>
    <w:rsid w:val="00152E1F"/>
    <w:rsid w:val="00155046"/>
    <w:rsid w:val="001822F4"/>
    <w:rsid w:val="00182911"/>
    <w:rsid w:val="00185C5B"/>
    <w:rsid w:val="001A79E1"/>
    <w:rsid w:val="001A7A16"/>
    <w:rsid w:val="001A7C78"/>
    <w:rsid w:val="001B39E3"/>
    <w:rsid w:val="001B7628"/>
    <w:rsid w:val="001B7C86"/>
    <w:rsid w:val="001C4F6B"/>
    <w:rsid w:val="001E258D"/>
    <w:rsid w:val="001E28B6"/>
    <w:rsid w:val="001E7439"/>
    <w:rsid w:val="001F4B72"/>
    <w:rsid w:val="00201D20"/>
    <w:rsid w:val="00215353"/>
    <w:rsid w:val="00237368"/>
    <w:rsid w:val="00244BB7"/>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94E9F"/>
    <w:rsid w:val="00397990"/>
    <w:rsid w:val="003A0061"/>
    <w:rsid w:val="003C37BD"/>
    <w:rsid w:val="003E7A3F"/>
    <w:rsid w:val="003F09EC"/>
    <w:rsid w:val="00405C7B"/>
    <w:rsid w:val="00436BB3"/>
    <w:rsid w:val="00444F00"/>
    <w:rsid w:val="00456467"/>
    <w:rsid w:val="00462F9C"/>
    <w:rsid w:val="00476506"/>
    <w:rsid w:val="004A5485"/>
    <w:rsid w:val="004C1B9A"/>
    <w:rsid w:val="004E4151"/>
    <w:rsid w:val="004F7D00"/>
    <w:rsid w:val="00505F5A"/>
    <w:rsid w:val="005169BD"/>
    <w:rsid w:val="00534357"/>
    <w:rsid w:val="005439FF"/>
    <w:rsid w:val="005507BF"/>
    <w:rsid w:val="00550D79"/>
    <w:rsid w:val="00553E6C"/>
    <w:rsid w:val="005542B5"/>
    <w:rsid w:val="005549ED"/>
    <w:rsid w:val="00557786"/>
    <w:rsid w:val="005714BE"/>
    <w:rsid w:val="00572E83"/>
    <w:rsid w:val="005777C1"/>
    <w:rsid w:val="0058452B"/>
    <w:rsid w:val="005C239D"/>
    <w:rsid w:val="005C40A4"/>
    <w:rsid w:val="005D066B"/>
    <w:rsid w:val="005D2567"/>
    <w:rsid w:val="005D5C76"/>
    <w:rsid w:val="005F4C0C"/>
    <w:rsid w:val="006205EA"/>
    <w:rsid w:val="006214D7"/>
    <w:rsid w:val="00631FBA"/>
    <w:rsid w:val="006349B7"/>
    <w:rsid w:val="00642D91"/>
    <w:rsid w:val="006551EF"/>
    <w:rsid w:val="00662E36"/>
    <w:rsid w:val="00680DD7"/>
    <w:rsid w:val="00681D5D"/>
    <w:rsid w:val="00682AEC"/>
    <w:rsid w:val="00687DFB"/>
    <w:rsid w:val="00692744"/>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46AA1"/>
    <w:rsid w:val="00776EE6"/>
    <w:rsid w:val="007801E6"/>
    <w:rsid w:val="007917A5"/>
    <w:rsid w:val="007B6EE5"/>
    <w:rsid w:val="007C6C71"/>
    <w:rsid w:val="007E5675"/>
    <w:rsid w:val="007F0FEE"/>
    <w:rsid w:val="00817AA2"/>
    <w:rsid w:val="00825DEC"/>
    <w:rsid w:val="00852138"/>
    <w:rsid w:val="00854B80"/>
    <w:rsid w:val="00856631"/>
    <w:rsid w:val="0085760C"/>
    <w:rsid w:val="00871E3F"/>
    <w:rsid w:val="00874208"/>
    <w:rsid w:val="0087565D"/>
    <w:rsid w:val="00883ABB"/>
    <w:rsid w:val="00892DF4"/>
    <w:rsid w:val="00894E26"/>
    <w:rsid w:val="00897E24"/>
    <w:rsid w:val="008A21F8"/>
    <w:rsid w:val="008A4206"/>
    <w:rsid w:val="008D13D7"/>
    <w:rsid w:val="008E2933"/>
    <w:rsid w:val="008E63B6"/>
    <w:rsid w:val="00900CA2"/>
    <w:rsid w:val="00902BEC"/>
    <w:rsid w:val="00907451"/>
    <w:rsid w:val="00956FEF"/>
    <w:rsid w:val="009611D3"/>
    <w:rsid w:val="009861E6"/>
    <w:rsid w:val="0098633B"/>
    <w:rsid w:val="00992FAA"/>
    <w:rsid w:val="009D4A3C"/>
    <w:rsid w:val="009E03DD"/>
    <w:rsid w:val="009F79AA"/>
    <w:rsid w:val="00A01E1E"/>
    <w:rsid w:val="00A0753C"/>
    <w:rsid w:val="00A10507"/>
    <w:rsid w:val="00A1161D"/>
    <w:rsid w:val="00A1423C"/>
    <w:rsid w:val="00A21005"/>
    <w:rsid w:val="00A24C73"/>
    <w:rsid w:val="00A3116B"/>
    <w:rsid w:val="00A44ECA"/>
    <w:rsid w:val="00A90414"/>
    <w:rsid w:val="00A95C5A"/>
    <w:rsid w:val="00AA4906"/>
    <w:rsid w:val="00AA53B5"/>
    <w:rsid w:val="00AA7F33"/>
    <w:rsid w:val="00AB0909"/>
    <w:rsid w:val="00AC3ECC"/>
    <w:rsid w:val="00AC595D"/>
    <w:rsid w:val="00AD0389"/>
    <w:rsid w:val="00AD6E0D"/>
    <w:rsid w:val="00AD7A94"/>
    <w:rsid w:val="00AF3B1C"/>
    <w:rsid w:val="00B02DEB"/>
    <w:rsid w:val="00B06371"/>
    <w:rsid w:val="00B11692"/>
    <w:rsid w:val="00B12013"/>
    <w:rsid w:val="00B42E5B"/>
    <w:rsid w:val="00B547F4"/>
    <w:rsid w:val="00B615F6"/>
    <w:rsid w:val="00B63E78"/>
    <w:rsid w:val="00B647D9"/>
    <w:rsid w:val="00B64C32"/>
    <w:rsid w:val="00B7062F"/>
    <w:rsid w:val="00B92CBA"/>
    <w:rsid w:val="00B9495F"/>
    <w:rsid w:val="00B95ED4"/>
    <w:rsid w:val="00BA30C9"/>
    <w:rsid w:val="00BA3598"/>
    <w:rsid w:val="00BB72CD"/>
    <w:rsid w:val="00BC6E9D"/>
    <w:rsid w:val="00BE6B5D"/>
    <w:rsid w:val="00BF5F1C"/>
    <w:rsid w:val="00C1469B"/>
    <w:rsid w:val="00C31223"/>
    <w:rsid w:val="00C3452B"/>
    <w:rsid w:val="00C44E15"/>
    <w:rsid w:val="00C469D8"/>
    <w:rsid w:val="00C47969"/>
    <w:rsid w:val="00C56965"/>
    <w:rsid w:val="00C6145E"/>
    <w:rsid w:val="00C73967"/>
    <w:rsid w:val="00CB2117"/>
    <w:rsid w:val="00CC5CDC"/>
    <w:rsid w:val="00CF1906"/>
    <w:rsid w:val="00CF29D2"/>
    <w:rsid w:val="00D01C8F"/>
    <w:rsid w:val="00D169AA"/>
    <w:rsid w:val="00D32E4F"/>
    <w:rsid w:val="00D45BDD"/>
    <w:rsid w:val="00D479B7"/>
    <w:rsid w:val="00D511E6"/>
    <w:rsid w:val="00D905A5"/>
    <w:rsid w:val="00D94893"/>
    <w:rsid w:val="00D9754B"/>
    <w:rsid w:val="00DB70E3"/>
    <w:rsid w:val="00DC2F2E"/>
    <w:rsid w:val="00DC752B"/>
    <w:rsid w:val="00DD56FF"/>
    <w:rsid w:val="00DD6D0A"/>
    <w:rsid w:val="00DE3DC0"/>
    <w:rsid w:val="00DE66E2"/>
    <w:rsid w:val="00E14B35"/>
    <w:rsid w:val="00E20299"/>
    <w:rsid w:val="00E30615"/>
    <w:rsid w:val="00E30FFD"/>
    <w:rsid w:val="00E337F5"/>
    <w:rsid w:val="00E358FB"/>
    <w:rsid w:val="00E35D2D"/>
    <w:rsid w:val="00E433E7"/>
    <w:rsid w:val="00E602F1"/>
    <w:rsid w:val="00E735D8"/>
    <w:rsid w:val="00E920D4"/>
    <w:rsid w:val="00EA010A"/>
    <w:rsid w:val="00EA05F4"/>
    <w:rsid w:val="00EC695B"/>
    <w:rsid w:val="00EF4381"/>
    <w:rsid w:val="00EF58C6"/>
    <w:rsid w:val="00EF71F7"/>
    <w:rsid w:val="00F07E1D"/>
    <w:rsid w:val="00F11F36"/>
    <w:rsid w:val="00F206F1"/>
    <w:rsid w:val="00F26BA7"/>
    <w:rsid w:val="00F33C81"/>
    <w:rsid w:val="00F41D72"/>
    <w:rsid w:val="00F466F2"/>
    <w:rsid w:val="00F50FA1"/>
    <w:rsid w:val="00F71A88"/>
    <w:rsid w:val="00F76B05"/>
    <w:rsid w:val="00F81CC4"/>
    <w:rsid w:val="00F91B56"/>
    <w:rsid w:val="00F920EF"/>
    <w:rsid w:val="00F966B7"/>
    <w:rsid w:val="00F97255"/>
    <w:rsid w:val="00FA7F3A"/>
    <w:rsid w:val="00FD0DFE"/>
    <w:rsid w:val="00FD168F"/>
    <w:rsid w:val="00FD32BD"/>
    <w:rsid w:val="00FD3336"/>
    <w:rsid w:val="00FD336E"/>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A143FD1-809F-4C2C-B265-0045BC2D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7</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111</cp:revision>
  <cp:lastPrinted>2018-10-19T18:48:00Z</cp:lastPrinted>
  <dcterms:created xsi:type="dcterms:W3CDTF">2016-06-24T15:53:00Z</dcterms:created>
  <dcterms:modified xsi:type="dcterms:W3CDTF">2019-01-18T18:49:00Z</dcterms:modified>
</cp:coreProperties>
</file>